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
          <w:iCs/>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capture the higher level processes that determine the realisation of an interaction. Thus, metawebs and realised networks are representing different mechanisms that are determining and constraining both the interactions between species as well as the resulting network structure, specifically providing context as to either the</w:t>
      </w:r>
      <w:r>
        <w:t xml:space="preserve"> </w:t>
      </w:r>
      <w:r>
        <w:rPr>
          <w:i/>
          <w:iCs/>
        </w:rPr>
        <w:t xml:space="preserve">potential</w:t>
      </w:r>
      <w:r>
        <w:t xml:space="preserve"> </w:t>
      </w:r>
      <w:r>
        <w:t xml:space="preserve">of an interaction occurring between two species (metawebs) or the subset of potential interactions that are</w:t>
      </w:r>
      <w:r>
        <w:t xml:space="preserve"> </w:t>
      </w:r>
      <w:r>
        <w:rPr>
          <w:i/>
          <w:iCs/>
        </w:rPr>
        <w:t xml:space="preserve">realised</w:t>
      </w:r>
      <w:r>
        <w:t xml:space="preserve"> </w:t>
      </w:r>
      <w:r>
        <w:t xml:space="preserve">in the field (realised networks).</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
          <w:iCs/>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ayout w:type="fixed"/>
        <w:tblLook w:firstRow="0" w:lastRow="0" w:firstColumn="0" w:lastColumn="0" w:noHBand="0" w:noVBand="0" w:val="0000"/>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[26]</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[27]</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[28]</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 and have been formalised with the neutral model</w:t>
      </w:r>
      <w:r>
        <w:t xml:space="preserve"> </w:t>
      </w:r>
      <w:r>
        <w:t xml:space="preserve">[29]</w:t>
      </w:r>
      <w:r>
        <w:t xml:space="preserve">, as well as statistical tools</w:t>
      </w:r>
      <w:r>
        <w:t xml:space="preserve"> </w:t>
      </w:r>
      <w:r>
        <w:t xml:space="preserve">[30]</w:t>
      </w:r>
      <w:r>
        <w:t xml:space="preserve">. Alternatively the abundance of species in a community can influence which interactions are ultimately realised</w:t>
      </w:r>
      <w:r>
        <w:t xml:space="preserve"> </w:t>
      </w:r>
      <w:r>
        <w:t xml:space="preserve">[15,31]</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 In terms of formalising these processes in the context of predicting networks using diet models</w:t>
      </w:r>
      <w:r>
        <w:t xml:space="preserve"> </w:t>
      </w:r>
      <w:r>
        <w:t xml:space="preserve">[34,35]</w:t>
      </w:r>
      <w:r>
        <w:t xml:space="preserve"> </w:t>
      </w:r>
      <w:r>
        <w:t xml:space="preserve">that have predator choice determined by the handling time, energy content, prey density, and predator attack rate.</w:t>
      </w:r>
      <w:r>
        <w:t xml:space="preserve"> </w:t>
      </w:r>
      <w:r>
        <w:t xml:space="preserve">[36]</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[37]</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[38,39]</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[40,41]</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just because species are able to interact does not mean that they will</w:t>
      </w:r>
      <w:r>
        <w:t xml:space="preserve"> </w:t>
      </w:r>
      <w:r>
        <w:t xml:space="preserve">[31]</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[42]</w:t>
      </w:r>
      <w:r>
        <w:t xml:space="preserve">. The researcher is also constrained by the data needs of both the model as well as the network type; for example in order to predict a realised network one needs additional community/population level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ayout w:type="fixed"/>
              <w:tblLook w:firstRow="1" w:lastRow="0" w:firstColumn="0" w:lastColumn="0" w:noHBand="0" w:noVBand="0" w:val="0020"/>
            </w:tblPr>
            <w:tblGrid>
              <w:gridCol w:w="1284"/>
              <w:gridCol w:w="1498"/>
              <w:gridCol w:w="1284"/>
              <w:gridCol w:w="1284"/>
              <w:gridCol w:w="1284"/>
              <w:gridCol w:w="1284"/>
            </w:tblGrid>
            <w:tr>
              <w:trPr>
                <w:tblHeader w:val="on"/>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[29]</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[62–64]</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[65]</w:t>
      </w:r>
      <w:r>
        <w:t xml:space="preserve"> </w:t>
      </w:r>
      <w:r>
        <w:t xml:space="preserve">might have (and share) some thoughts on this. I feel like I need to look at</w:t>
      </w:r>
      <w:r>
        <w:t xml:space="preserve"> </w:t>
      </w:r>
      <w:r>
        <w:t xml:space="preserve">[66]</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0"/>
          <w:numId w:val="1002"/>
        </w:numPr>
      </w:pPr>
      <w:r>
        <w:t xml:space="preserve">The</w:t>
      </w:r>
      <w:r>
        <w:t xml:space="preserve"> </w:t>
      </w:r>
      <w:r>
        <w:t xml:space="preserve">[67]</w:t>
      </w:r>
      <w:r>
        <w:t xml:space="preserve"> </w:t>
      </w:r>
      <w:r>
        <w:t xml:space="preserve">paper looks at some methods but is specifically looking at a bipartite world…</w:t>
      </w:r>
    </w:p>
    <w:bookmarkEnd w:id="44"/>
    <w:bookmarkStart w:id="175" w:name="references"/>
    <w:p>
      <w:pPr>
        <w:pStyle w:val="Heading1"/>
      </w:pPr>
      <w:r>
        <w:t xml:space="preserve">References</w:t>
      </w:r>
    </w:p>
    <w:bookmarkStart w:id="174"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1"/>
    <w:bookmarkStart w:id="92" w:name="X1edd2253d2e7e8e6db9e7574240f432ddda2ce1"/>
    <w:p>
      <w:pPr>
        <w:pStyle w:val="Bibliography"/>
      </w:pPr>
      <w:r>
        <w:t xml:space="preserve">26.</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92"/>
    <w:bookmarkStart w:id="94" w:name="ref-higinoMismatchIUCNRange2023"/>
    <w:p>
      <w:pPr>
        <w:pStyle w:val="Bibliography"/>
      </w:pPr>
      <w:r>
        <w:t xml:space="preserve">27.</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4"/>
    <w:bookmarkStart w:id="96" w:name="X8f3d1de04516835fd1376e2647a281b763af4fc"/>
    <w:p>
      <w:pPr>
        <w:pStyle w:val="Bibliography"/>
      </w:pPr>
      <w:r>
        <w:t xml:space="preserve">28.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6"/>
    <w:bookmarkStart w:id="98" w:name="X148151be55fae469550d414afe81ac309261681"/>
    <w:p>
      <w:pPr>
        <w:pStyle w:val="Bibliography"/>
      </w:pPr>
      <w:r>
        <w:t xml:space="preserve">29.</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8"/>
    <w:bookmarkStart w:id="100" w:name="ref-momalTreebasedInferenceSpecies2020"/>
    <w:p>
      <w:pPr>
        <w:pStyle w:val="Bibliography"/>
      </w:pPr>
      <w:r>
        <w:t xml:space="preserve">30.</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0"/>
    <w:bookmarkStart w:id="102" w:name="ref-poisotSpeciesWhyEcological2015"/>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2"/>
    <w:bookmarkStart w:id="104"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4"/>
    <w:bookmarkStart w:id="106"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6"/>
    <w:bookmarkStart w:id="108" w:name="ref-beckermanForagingBiologyPredicts2006"/>
    <w:p>
      <w:pPr>
        <w:pStyle w:val="Bibliography"/>
      </w:pPr>
      <w:r>
        <w:t xml:space="preserve">34.</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0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08"/>
    <w:bookmarkStart w:id="110" w:name="ref-petcheySizeForagingFood2008"/>
    <w:p>
      <w:pPr>
        <w:pStyle w:val="Bibliography"/>
      </w:pPr>
      <w:r>
        <w:t xml:space="preserve">35.</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10"/>
    <w:bookmarkStart w:id="112" w:name="ref-woottonModularTheoryTrophic2023"/>
    <w:p>
      <w:pPr>
        <w:pStyle w:val="Bibliography"/>
      </w:pPr>
      <w:r>
        <w:t xml:space="preserve">36.</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1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12"/>
    <w:bookmarkStart w:id="114" w:name="X5c34a2e64ad17132523b815ad511dc881809961"/>
    <w:p>
      <w:pPr>
        <w:pStyle w:val="Bibliography"/>
      </w:pPr>
      <w:r>
        <w:t xml:space="preserve">37.</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1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14"/>
    <w:bookmarkStart w:id="116" w:name="ref-golubskiModifyingModifiersWhat2011"/>
    <w:p>
      <w:pPr>
        <w:pStyle w:val="Bibliography"/>
      </w:pPr>
      <w:r>
        <w:t xml:space="preserve">38.</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6"/>
    <w:bookmarkStart w:id="118" w:name="Xce61f9463b8a9f3b89eeb4518bbe3b5ec8b2ca7"/>
    <w:p>
      <w:pPr>
        <w:pStyle w:val="Bibliography"/>
      </w:pPr>
      <w:r>
        <w:t xml:space="preserve">39.</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8"/>
    <w:bookmarkStart w:id="120" w:name="ref-kefiMoreMealIntegrating2012"/>
    <w:p>
      <w:pPr>
        <w:pStyle w:val="Bibliography"/>
      </w:pPr>
      <w:r>
        <w:t xml:space="preserve">40.</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0"/>
    <w:bookmarkStart w:id="122" w:name="ref-kefiNetworkStructureFood2015"/>
    <w:p>
      <w:pPr>
        <w:pStyle w:val="Bibliography"/>
      </w:pPr>
      <w:r>
        <w:t xml:space="preserve">41.</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2"/>
    <w:bookmarkStart w:id="124" w:name="ref-caronTraitmatchingModelsPredict2024"/>
    <w:p>
      <w:pPr>
        <w:pStyle w:val="Bibliography"/>
      </w:pPr>
      <w:r>
        <w:t xml:space="preserve">42.</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8"/>
    <w:bookmarkStart w:id="150" w:name="ref-stoufferAllEcologicalModels2019"/>
    <w:p>
      <w:pPr>
        <w:pStyle w:val="Bibliography"/>
      </w:pPr>
      <w:r>
        <w:t xml:space="preserve">55.</w:t>
      </w:r>
      <w:r>
        <w:t xml:space="preserve"> </w:t>
      </w:r>
      <w:r>
        <w:t xml:space="preserve">	</w:t>
      </w:r>
      <w:r>
        <w:t xml:space="preserve">Stouffer, D.B. (2019)</w:t>
      </w:r>
      <w:r>
        <w:t xml:space="preserve"> </w:t>
      </w:r>
      <w:hyperlink r:id="rId14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0"/>
    <w:bookmarkStart w:id="152" w:name="ref-hutchinsonSeeingForestTrees2019"/>
    <w:p>
      <w:pPr>
        <w:pStyle w:val="Bibliography"/>
      </w:pPr>
      <w:r>
        <w:t xml:space="preserve">56.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3"/>
    <w:bookmarkStart w:id="155" w:name="ref-rooneyLandscapeTheoryFood2008"/>
    <w:p>
      <w:pPr>
        <w:pStyle w:val="Bibliography"/>
      </w:pPr>
      <w:r>
        <w:t xml:space="preserve">58.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54">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55"/>
    <w:bookmarkStart w:id="157" w:name="ref-brimacombeApplyingMethodIts2024"/>
    <w:p>
      <w:pPr>
        <w:pStyle w:val="Bibliography"/>
      </w:pPr>
      <w:r>
        <w:t xml:space="preserve">59.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7"/>
    <w:bookmarkStart w:id="159" w:name="X0cd8b1b2c315f3e3186e0dbbf2fc454fbc2ad9d"/>
    <w:p>
      <w:pPr>
        <w:pStyle w:val="Bibliography"/>
      </w:pPr>
      <w:r>
        <w:t xml:space="preserve">60.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158">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159"/>
    <w:bookmarkStart w:id="161" w:name="X023758d2a089016cd8f0c9d2421079cf7d062ff"/>
    <w:p>
      <w:pPr>
        <w:pStyle w:val="Bibliography"/>
      </w:pPr>
      <w:r>
        <w:t xml:space="preserve">61.</w:t>
      </w:r>
      <w:r>
        <w:t xml:space="preserve"> </w:t>
      </w:r>
      <w:r>
        <w:t xml:space="preserve">	</w:t>
      </w:r>
      <w:r>
        <w:t xml:space="preserve">Poisot, T. (2023)</w:t>
      </w:r>
      <w:r>
        <w:t xml:space="preserve"> </w:t>
      </w:r>
      <w:hyperlink r:id="rId16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1"/>
    <w:bookmarkStart w:id="163" w:name="Xb74550f9527590a6ed7b0cf8bbc830e274eb739"/>
    <w:p>
      <w:pPr>
        <w:pStyle w:val="Bibliography"/>
      </w:pPr>
      <w:r>
        <w:t xml:space="preserve">62.</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6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3"/>
    <w:bookmarkStart w:id="165" w:name="ref-delmasSimulationsBiomassDynamics2017"/>
    <w:p>
      <w:pPr>
        <w:pStyle w:val="Bibliography"/>
      </w:pPr>
      <w:r>
        <w:t xml:space="preserve">63.</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6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65"/>
    <w:bookmarkStart w:id="167" w:name="Xe3e49d362cfe4dc69cf94913d43d3c00a90a030"/>
    <w:p>
      <w:pPr>
        <w:pStyle w:val="Bibliography"/>
      </w:pPr>
      <w:r>
        <w:t xml:space="preserve">64.</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67"/>
    <w:bookmarkStart w:id="169" w:name="ref-petcheyFitEfficiencyBiology2011"/>
    <w:p>
      <w:pPr>
        <w:pStyle w:val="Bibliography"/>
      </w:pPr>
      <w:r>
        <w:t xml:space="preserve">65.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69"/>
    <w:bookmarkStart w:id="171" w:name="ref-berlowGoldilocksFactorFood2008"/>
    <w:p>
      <w:pPr>
        <w:pStyle w:val="Bibliography"/>
      </w:pPr>
      <w:r>
        <w:t xml:space="preserve">66.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67.</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2024-09-20T15:02:02Z</dcterms:created>
  <dcterms:modified xsi:type="dcterms:W3CDTF">2024-09-20T15:02:02Z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